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84F" w:rsidRPr="00CB42E0" w:rsidRDefault="00197329" w:rsidP="00CB42E0">
      <w:pPr>
        <w:spacing w:after="0" w:line="240" w:lineRule="auto"/>
        <w:jc w:val="center"/>
        <w:rPr>
          <w:b/>
          <w:sz w:val="24"/>
        </w:rPr>
      </w:pPr>
      <w:r w:rsidRPr="00CF7508">
        <w:rPr>
          <w:b/>
          <w:sz w:val="24"/>
        </w:rPr>
        <w:t xml:space="preserve">LISTA DE </w:t>
      </w:r>
      <w:r w:rsidR="002F684F" w:rsidRPr="00CF7508">
        <w:rPr>
          <w:b/>
          <w:sz w:val="24"/>
        </w:rPr>
        <w:t>VERIFICACIÓN</w:t>
      </w:r>
    </w:p>
    <w:p w:rsidR="00C83EF0" w:rsidRPr="00CF7508" w:rsidRDefault="00C83EF0" w:rsidP="002F684F">
      <w:pPr>
        <w:spacing w:after="0" w:line="240" w:lineRule="auto"/>
        <w:jc w:val="center"/>
        <w:rPr>
          <w:b/>
        </w:rPr>
      </w:pPr>
      <w:r w:rsidRPr="00CF7508">
        <w:rPr>
          <w:b/>
        </w:rPr>
        <w:t>PLAN ANUAL DE COMPRAS Y CONTRATACIONES (PACC)</w:t>
      </w:r>
    </w:p>
    <w:p w:rsidR="002F684F" w:rsidRPr="002F684F" w:rsidRDefault="002F684F" w:rsidP="002F684F">
      <w:pPr>
        <w:spacing w:after="0" w:line="240" w:lineRule="auto"/>
        <w:jc w:val="center"/>
      </w:pPr>
    </w:p>
    <w:p w:rsidR="00060EAD" w:rsidRPr="002F684F" w:rsidRDefault="002F684F" w:rsidP="002F684F">
      <w:pPr>
        <w:spacing w:after="0" w:line="240" w:lineRule="auto"/>
        <w:jc w:val="both"/>
      </w:pPr>
      <w:r w:rsidRPr="002F684F">
        <w:t>Institución</w:t>
      </w:r>
      <w:r w:rsidR="00060EAD" w:rsidRPr="002F684F">
        <w:t xml:space="preserve">: </w:t>
      </w:r>
    </w:p>
    <w:p w:rsidR="002F684F" w:rsidRPr="002F684F" w:rsidRDefault="002F684F" w:rsidP="002F684F">
      <w:pPr>
        <w:spacing w:after="0" w:line="240" w:lineRule="auto"/>
        <w:jc w:val="both"/>
      </w:pPr>
    </w:p>
    <w:p w:rsidR="002F684F" w:rsidRPr="002F684F" w:rsidRDefault="00060EAD" w:rsidP="002F684F">
      <w:pPr>
        <w:spacing w:after="0" w:line="240" w:lineRule="auto"/>
        <w:jc w:val="both"/>
      </w:pPr>
      <w:r w:rsidRPr="002F684F">
        <w:t>Gerencia Administrativa:</w:t>
      </w:r>
    </w:p>
    <w:p w:rsidR="002F684F" w:rsidRPr="002F684F" w:rsidRDefault="002F684F" w:rsidP="002F684F">
      <w:pPr>
        <w:spacing w:after="0" w:line="240" w:lineRule="auto"/>
        <w:jc w:val="both"/>
      </w:pPr>
    </w:p>
    <w:p w:rsidR="00DB54A9" w:rsidRPr="002F684F" w:rsidRDefault="00DB54A9" w:rsidP="002F684F">
      <w:pPr>
        <w:spacing w:after="0" w:line="240" w:lineRule="auto"/>
        <w:jc w:val="both"/>
      </w:pPr>
      <w:r w:rsidRPr="002F684F">
        <w:t>Fecha de verificación:</w:t>
      </w:r>
    </w:p>
    <w:p w:rsidR="002F684F" w:rsidRPr="002F684F" w:rsidRDefault="002F684F" w:rsidP="002F684F">
      <w:pPr>
        <w:spacing w:after="0" w:line="240" w:lineRule="auto"/>
        <w:jc w:val="both"/>
      </w:pPr>
    </w:p>
    <w:p w:rsidR="00060EAD" w:rsidRPr="002F684F" w:rsidRDefault="00C83EF0" w:rsidP="002F684F">
      <w:pPr>
        <w:spacing w:after="0" w:line="240" w:lineRule="auto"/>
        <w:jc w:val="both"/>
      </w:pPr>
      <w:r w:rsidRPr="002F684F">
        <w:t xml:space="preserve">Con el fin de garantizar que el PACC </w:t>
      </w:r>
      <w:r w:rsidR="00060EAD" w:rsidRPr="002F684F">
        <w:t>de la</w:t>
      </w:r>
      <w:r w:rsidR="002F684F">
        <w:t xml:space="preserve"> Gerencia Administrativa e </w:t>
      </w:r>
      <w:r w:rsidR="002F684F" w:rsidRPr="002F684F">
        <w:t>Institución</w:t>
      </w:r>
      <w:r w:rsidR="00060EAD" w:rsidRPr="002F684F">
        <w:t xml:space="preserve"> </w:t>
      </w:r>
      <w:r w:rsidR="002F684F" w:rsidRPr="002F684F">
        <w:t>está</w:t>
      </w:r>
      <w:r w:rsidR="00DB54A9" w:rsidRPr="002F684F">
        <w:t xml:space="preserve"> conforme </w:t>
      </w:r>
      <w:r w:rsidRPr="002F684F">
        <w:t xml:space="preserve">al marco regulatorio y normativo pertinente a la contratación </w:t>
      </w:r>
      <w:r w:rsidR="002F684F" w:rsidRPr="002F684F">
        <w:t>pública</w:t>
      </w:r>
      <w:r w:rsidR="00060EAD" w:rsidRPr="002F684F">
        <w:t xml:space="preserve"> del Estado, verificamos los siguientes aspectos: </w:t>
      </w:r>
    </w:p>
    <w:p w:rsidR="002F684F" w:rsidRPr="002F684F" w:rsidRDefault="002F684F" w:rsidP="002F684F">
      <w:pPr>
        <w:spacing w:after="0" w:line="240" w:lineRule="auto"/>
        <w:jc w:val="both"/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567"/>
        <w:gridCol w:w="709"/>
        <w:gridCol w:w="3161"/>
      </w:tblGrid>
      <w:tr w:rsidR="002F684F" w:rsidRPr="002F684F" w:rsidTr="0059655C">
        <w:trPr>
          <w:cantSplit/>
          <w:trHeight w:val="143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B54A9" w:rsidRPr="00DB54A9" w:rsidRDefault="00DB54A9" w:rsidP="00DB54A9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s-ES"/>
              </w:rPr>
            </w:pPr>
            <w:r w:rsidRPr="00DB54A9">
              <w:rPr>
                <w:rFonts w:eastAsia="Times New Roman" w:cs="Arial"/>
                <w:b/>
                <w:lang w:eastAsia="es-ES"/>
              </w:rPr>
              <w:t>Nº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DB54A9" w:rsidRPr="00DB54A9" w:rsidRDefault="00DB54A9" w:rsidP="00DB54A9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s-ES"/>
              </w:rPr>
            </w:pPr>
            <w:r w:rsidRPr="002F684F">
              <w:rPr>
                <w:rFonts w:eastAsia="Times New Roman" w:cs="Arial"/>
                <w:b/>
                <w:lang w:eastAsia="es-ES"/>
              </w:rPr>
              <w:t>Aspectos que deben estar conforme al marco regulatorio y normativo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DB54A9" w:rsidRPr="00DB54A9" w:rsidRDefault="00DB54A9" w:rsidP="00DB54A9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lang w:eastAsia="es-ES"/>
              </w:rPr>
            </w:pPr>
            <w:r w:rsidRPr="002F684F">
              <w:rPr>
                <w:rFonts w:eastAsia="Times New Roman" w:cs="Arial"/>
                <w:b/>
                <w:lang w:eastAsia="es-ES"/>
              </w:rPr>
              <w:t>Conforme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DB54A9" w:rsidRPr="00DB54A9" w:rsidRDefault="00DB54A9" w:rsidP="00DB54A9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lang w:eastAsia="es-ES"/>
              </w:rPr>
            </w:pPr>
            <w:r w:rsidRPr="002F684F">
              <w:rPr>
                <w:rFonts w:eastAsia="Times New Roman" w:cs="Arial"/>
                <w:b/>
                <w:lang w:eastAsia="es-ES"/>
              </w:rPr>
              <w:t>No Conforme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DB54A9" w:rsidRPr="00DB54A9" w:rsidRDefault="00DB54A9" w:rsidP="00DB54A9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s-ES"/>
              </w:rPr>
            </w:pPr>
            <w:r w:rsidRPr="002F684F">
              <w:rPr>
                <w:rFonts w:eastAsia="Times New Roman" w:cs="Arial"/>
                <w:b/>
                <w:lang w:eastAsia="es-ES"/>
              </w:rPr>
              <w:t>Comentario u Observación de la No Conformidad</w:t>
            </w:r>
          </w:p>
        </w:tc>
      </w:tr>
      <w:tr w:rsidR="002F7CC1" w:rsidRPr="00DB54A9" w:rsidTr="00431FBC">
        <w:tc>
          <w:tcPr>
            <w:tcW w:w="567" w:type="dxa"/>
          </w:tcPr>
          <w:p w:rsidR="002F7CC1" w:rsidRPr="00DB54A9" w:rsidRDefault="002F7CC1" w:rsidP="00431FBC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1</w:t>
            </w:r>
          </w:p>
        </w:tc>
        <w:tc>
          <w:tcPr>
            <w:tcW w:w="4536" w:type="dxa"/>
            <w:vAlign w:val="center"/>
          </w:tcPr>
          <w:p w:rsidR="002F7CC1" w:rsidRDefault="002F7CC1" w:rsidP="00431FBC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 xml:space="preserve">Las </w:t>
            </w:r>
            <w:r w:rsidR="00770569">
              <w:rPr>
                <w:rFonts w:eastAsia="Times New Roman" w:cs="Arial"/>
                <w:lang w:eastAsia="es-ES"/>
              </w:rPr>
              <w:t>adquisiciones</w:t>
            </w:r>
            <w:r>
              <w:rPr>
                <w:rFonts w:eastAsia="Times New Roman" w:cs="Arial"/>
                <w:lang w:eastAsia="es-ES"/>
              </w:rPr>
              <w:t xml:space="preserve"> corresponden a las actividades/obras programadas en el Plan Operativo Anual (POA)</w:t>
            </w:r>
          </w:p>
          <w:p w:rsidR="00431FBC" w:rsidRDefault="00431FBC" w:rsidP="00431FBC">
            <w:pPr>
              <w:spacing w:after="0" w:line="240" w:lineRule="auto"/>
              <w:rPr>
                <w:rFonts w:eastAsia="Times New Roman" w:cs="Arial"/>
                <w:lang w:eastAsia="es-ES"/>
              </w:rPr>
            </w:pPr>
          </w:p>
        </w:tc>
        <w:tc>
          <w:tcPr>
            <w:tcW w:w="567" w:type="dxa"/>
          </w:tcPr>
          <w:p w:rsidR="002F7CC1" w:rsidRPr="00DB54A9" w:rsidRDefault="002F7CC1" w:rsidP="00DB54A9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  <w:tc>
          <w:tcPr>
            <w:tcW w:w="709" w:type="dxa"/>
          </w:tcPr>
          <w:p w:rsidR="002F7CC1" w:rsidRPr="00DB54A9" w:rsidRDefault="002F7CC1" w:rsidP="00DB54A9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  <w:tc>
          <w:tcPr>
            <w:tcW w:w="3161" w:type="dxa"/>
          </w:tcPr>
          <w:p w:rsidR="002F7CC1" w:rsidRPr="00DB54A9" w:rsidRDefault="002F7CC1" w:rsidP="00DB54A9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</w:tr>
      <w:tr w:rsidR="00DB54A9" w:rsidRPr="00DB54A9" w:rsidTr="0059655C">
        <w:tc>
          <w:tcPr>
            <w:tcW w:w="567" w:type="dxa"/>
          </w:tcPr>
          <w:p w:rsidR="00DB54A9" w:rsidRPr="00DB54A9" w:rsidRDefault="002F7CC1" w:rsidP="0059655C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2</w:t>
            </w:r>
          </w:p>
        </w:tc>
        <w:tc>
          <w:tcPr>
            <w:tcW w:w="4536" w:type="dxa"/>
          </w:tcPr>
          <w:p w:rsidR="00DB54A9" w:rsidRDefault="002F684F" w:rsidP="002F7CC1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 xml:space="preserve">El nombre de cada adquisición </w:t>
            </w:r>
            <w:r w:rsidR="006933AE">
              <w:rPr>
                <w:rFonts w:eastAsia="Times New Roman" w:cs="Arial"/>
                <w:lang w:eastAsia="es-ES"/>
              </w:rPr>
              <w:t>expresa el alcance de esta.</w:t>
            </w:r>
          </w:p>
          <w:p w:rsidR="00431FBC" w:rsidRPr="00DB54A9" w:rsidRDefault="00431FBC" w:rsidP="002F7CC1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  <w:tc>
          <w:tcPr>
            <w:tcW w:w="567" w:type="dxa"/>
          </w:tcPr>
          <w:p w:rsidR="00DB54A9" w:rsidRPr="00DB54A9" w:rsidRDefault="00DB54A9" w:rsidP="00DB54A9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  <w:tc>
          <w:tcPr>
            <w:tcW w:w="709" w:type="dxa"/>
          </w:tcPr>
          <w:p w:rsidR="00DB54A9" w:rsidRPr="00DB54A9" w:rsidRDefault="00DB54A9" w:rsidP="00DB54A9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  <w:tc>
          <w:tcPr>
            <w:tcW w:w="3161" w:type="dxa"/>
          </w:tcPr>
          <w:p w:rsidR="00DB54A9" w:rsidRPr="00DB54A9" w:rsidRDefault="00DB54A9" w:rsidP="00DB54A9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</w:tr>
      <w:tr w:rsidR="00DB54A9" w:rsidRPr="00DB54A9" w:rsidTr="0059655C">
        <w:tc>
          <w:tcPr>
            <w:tcW w:w="567" w:type="dxa"/>
          </w:tcPr>
          <w:p w:rsidR="00DB54A9" w:rsidRPr="00DB54A9" w:rsidRDefault="002F7CC1" w:rsidP="0059655C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3</w:t>
            </w:r>
          </w:p>
        </w:tc>
        <w:tc>
          <w:tcPr>
            <w:tcW w:w="4536" w:type="dxa"/>
          </w:tcPr>
          <w:p w:rsidR="00DB54A9" w:rsidRDefault="00385C34" w:rsidP="002F7CC1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El tipo de contrato de cada adquisición está conforme a la normativa.</w:t>
            </w:r>
            <w:r w:rsidR="006933AE">
              <w:rPr>
                <w:rFonts w:eastAsia="Times New Roman" w:cs="Arial"/>
                <w:lang w:eastAsia="es-ES"/>
              </w:rPr>
              <w:t xml:space="preserve"> </w:t>
            </w:r>
          </w:p>
          <w:p w:rsidR="00431FBC" w:rsidRPr="00DB54A9" w:rsidRDefault="00431FBC" w:rsidP="002F7CC1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  <w:tc>
          <w:tcPr>
            <w:tcW w:w="567" w:type="dxa"/>
          </w:tcPr>
          <w:p w:rsidR="00DB54A9" w:rsidRPr="00DB54A9" w:rsidRDefault="00DB54A9" w:rsidP="00DB54A9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  <w:tc>
          <w:tcPr>
            <w:tcW w:w="709" w:type="dxa"/>
          </w:tcPr>
          <w:p w:rsidR="00DB54A9" w:rsidRPr="00DB54A9" w:rsidRDefault="00DB54A9" w:rsidP="00DB54A9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  <w:tc>
          <w:tcPr>
            <w:tcW w:w="3161" w:type="dxa"/>
          </w:tcPr>
          <w:p w:rsidR="00DB54A9" w:rsidRPr="00DB54A9" w:rsidRDefault="00DB54A9" w:rsidP="00DB54A9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</w:tr>
      <w:tr w:rsidR="00DB54A9" w:rsidRPr="00DB54A9" w:rsidTr="0059655C">
        <w:tc>
          <w:tcPr>
            <w:tcW w:w="567" w:type="dxa"/>
          </w:tcPr>
          <w:p w:rsidR="00DB54A9" w:rsidRPr="00DB54A9" w:rsidRDefault="002F7CC1" w:rsidP="0059655C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4</w:t>
            </w:r>
          </w:p>
        </w:tc>
        <w:tc>
          <w:tcPr>
            <w:tcW w:w="4536" w:type="dxa"/>
          </w:tcPr>
          <w:p w:rsidR="00DB54A9" w:rsidRDefault="00385C34" w:rsidP="002F7CC1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La modalidad de contratación de cada adquisición está conforme a la normativa.</w:t>
            </w:r>
          </w:p>
          <w:p w:rsidR="00431FBC" w:rsidRPr="00DB54A9" w:rsidRDefault="00431FBC" w:rsidP="002F7CC1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  <w:tc>
          <w:tcPr>
            <w:tcW w:w="567" w:type="dxa"/>
          </w:tcPr>
          <w:p w:rsidR="00DB54A9" w:rsidRPr="00DB54A9" w:rsidRDefault="00DB54A9" w:rsidP="00DB54A9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  <w:tc>
          <w:tcPr>
            <w:tcW w:w="709" w:type="dxa"/>
          </w:tcPr>
          <w:p w:rsidR="00DB54A9" w:rsidRPr="00DB54A9" w:rsidRDefault="00DB54A9" w:rsidP="00DB54A9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  <w:tc>
          <w:tcPr>
            <w:tcW w:w="3161" w:type="dxa"/>
          </w:tcPr>
          <w:p w:rsidR="00DB54A9" w:rsidRPr="00DB54A9" w:rsidRDefault="00DB54A9" w:rsidP="00DB54A9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</w:tr>
      <w:tr w:rsidR="00DB54A9" w:rsidRPr="00DB54A9" w:rsidTr="0059655C">
        <w:tc>
          <w:tcPr>
            <w:tcW w:w="567" w:type="dxa"/>
          </w:tcPr>
          <w:p w:rsidR="00DB54A9" w:rsidRPr="00DB54A9" w:rsidRDefault="002F7CC1" w:rsidP="0059655C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5</w:t>
            </w:r>
          </w:p>
        </w:tc>
        <w:tc>
          <w:tcPr>
            <w:tcW w:w="4536" w:type="dxa"/>
          </w:tcPr>
          <w:p w:rsidR="00DB54A9" w:rsidRDefault="00385C34" w:rsidP="002F7CC1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 xml:space="preserve">Las contrataciones directas </w:t>
            </w:r>
            <w:r w:rsidR="00CF7508">
              <w:rPr>
                <w:rFonts w:eastAsia="Times New Roman" w:cs="Arial"/>
                <w:lang w:eastAsia="es-ES"/>
              </w:rPr>
              <w:t>están</w:t>
            </w:r>
            <w:r>
              <w:rPr>
                <w:rFonts w:eastAsia="Times New Roman" w:cs="Arial"/>
                <w:lang w:eastAsia="es-ES"/>
              </w:rPr>
              <w:t xml:space="preserve"> justificadas de acuerdo a los supuestos del </w:t>
            </w:r>
            <w:r w:rsidR="00CF7508">
              <w:rPr>
                <w:rFonts w:eastAsia="Times New Roman" w:cs="Arial"/>
                <w:lang w:eastAsia="es-ES"/>
              </w:rPr>
              <w:t>artículo</w:t>
            </w:r>
            <w:r>
              <w:rPr>
                <w:rFonts w:eastAsia="Times New Roman" w:cs="Arial"/>
                <w:lang w:eastAsia="es-ES"/>
              </w:rPr>
              <w:t xml:space="preserve"> 63 de la L</w:t>
            </w:r>
            <w:r w:rsidR="00770569">
              <w:rPr>
                <w:rFonts w:eastAsia="Times New Roman" w:cs="Arial"/>
                <w:lang w:eastAsia="es-ES"/>
              </w:rPr>
              <w:t xml:space="preserve">ey de Contratación del </w:t>
            </w:r>
            <w:r>
              <w:rPr>
                <w:rFonts w:eastAsia="Times New Roman" w:cs="Arial"/>
                <w:lang w:eastAsia="es-ES"/>
              </w:rPr>
              <w:t>E</w:t>
            </w:r>
            <w:r w:rsidR="00770569">
              <w:rPr>
                <w:rFonts w:eastAsia="Times New Roman" w:cs="Arial"/>
                <w:lang w:eastAsia="es-ES"/>
              </w:rPr>
              <w:t>stado (LCE)</w:t>
            </w:r>
            <w:r>
              <w:rPr>
                <w:rFonts w:eastAsia="Times New Roman" w:cs="Arial"/>
                <w:lang w:eastAsia="es-ES"/>
              </w:rPr>
              <w:t>, exceptuando el literal 3.</w:t>
            </w:r>
          </w:p>
          <w:p w:rsidR="00431FBC" w:rsidRPr="00DB54A9" w:rsidRDefault="00431FBC" w:rsidP="002F7CC1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  <w:tc>
          <w:tcPr>
            <w:tcW w:w="567" w:type="dxa"/>
          </w:tcPr>
          <w:p w:rsidR="00DB54A9" w:rsidRPr="00DB54A9" w:rsidRDefault="00DB54A9" w:rsidP="00DB54A9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  <w:tc>
          <w:tcPr>
            <w:tcW w:w="709" w:type="dxa"/>
          </w:tcPr>
          <w:p w:rsidR="00DB54A9" w:rsidRPr="00DB54A9" w:rsidRDefault="00DB54A9" w:rsidP="00DB54A9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  <w:tc>
          <w:tcPr>
            <w:tcW w:w="3161" w:type="dxa"/>
          </w:tcPr>
          <w:p w:rsidR="00DB54A9" w:rsidRPr="00DB54A9" w:rsidRDefault="00DB54A9" w:rsidP="00DB54A9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</w:tr>
      <w:tr w:rsidR="00DB54A9" w:rsidRPr="00DB54A9" w:rsidTr="0059655C">
        <w:tc>
          <w:tcPr>
            <w:tcW w:w="567" w:type="dxa"/>
          </w:tcPr>
          <w:p w:rsidR="00DB54A9" w:rsidRPr="00DB54A9" w:rsidRDefault="002F7CC1" w:rsidP="0059655C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6</w:t>
            </w:r>
          </w:p>
        </w:tc>
        <w:tc>
          <w:tcPr>
            <w:tcW w:w="4536" w:type="dxa"/>
          </w:tcPr>
          <w:p w:rsidR="00DB54A9" w:rsidRDefault="00385C34" w:rsidP="002F7CC1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 xml:space="preserve">Las licitaciones privadas </w:t>
            </w:r>
            <w:r w:rsidR="00CF7508">
              <w:rPr>
                <w:rFonts w:eastAsia="Times New Roman" w:cs="Arial"/>
                <w:lang w:eastAsia="es-ES"/>
              </w:rPr>
              <w:t>están</w:t>
            </w:r>
            <w:r w:rsidR="00E01E6B">
              <w:rPr>
                <w:rFonts w:eastAsia="Times New Roman" w:cs="Arial"/>
                <w:lang w:eastAsia="es-ES"/>
              </w:rPr>
              <w:t xml:space="preserve"> justificadas de acuerdo a los supuestos del </w:t>
            </w:r>
            <w:r w:rsidR="00CF7508">
              <w:rPr>
                <w:rFonts w:eastAsia="Times New Roman" w:cs="Arial"/>
                <w:lang w:eastAsia="es-ES"/>
              </w:rPr>
              <w:t>artículo</w:t>
            </w:r>
            <w:r w:rsidR="00E01E6B">
              <w:rPr>
                <w:rFonts w:eastAsia="Times New Roman" w:cs="Arial"/>
                <w:lang w:eastAsia="es-ES"/>
              </w:rPr>
              <w:t xml:space="preserve"> 60 de la LCE, en los casos que sus montos estimados no correspondan al umbral establecido en las </w:t>
            </w:r>
            <w:r w:rsidR="00770569">
              <w:rPr>
                <w:rFonts w:eastAsia="Times New Roman" w:cs="Arial"/>
                <w:lang w:eastAsia="es-ES"/>
              </w:rPr>
              <w:t>Disposiciones Generales de Presupuesto (</w:t>
            </w:r>
            <w:r w:rsidR="00E01E6B">
              <w:rPr>
                <w:rFonts w:eastAsia="Times New Roman" w:cs="Arial"/>
                <w:lang w:eastAsia="es-ES"/>
              </w:rPr>
              <w:t>DGP</w:t>
            </w:r>
            <w:r w:rsidR="00770569">
              <w:rPr>
                <w:rFonts w:eastAsia="Times New Roman" w:cs="Arial"/>
                <w:lang w:eastAsia="es-ES"/>
              </w:rPr>
              <w:t>)</w:t>
            </w:r>
            <w:r w:rsidR="00E01E6B">
              <w:rPr>
                <w:rFonts w:eastAsia="Times New Roman" w:cs="Arial"/>
                <w:lang w:eastAsia="es-ES"/>
              </w:rPr>
              <w:t xml:space="preserve"> del </w:t>
            </w:r>
            <w:r w:rsidR="00CF7508">
              <w:rPr>
                <w:rFonts w:eastAsia="Times New Roman" w:cs="Arial"/>
                <w:lang w:eastAsia="es-ES"/>
              </w:rPr>
              <w:t>año</w:t>
            </w:r>
            <w:r w:rsidR="00E01E6B">
              <w:rPr>
                <w:rFonts w:eastAsia="Times New Roman" w:cs="Arial"/>
                <w:lang w:eastAsia="es-ES"/>
              </w:rPr>
              <w:t xml:space="preserve"> fiscal</w:t>
            </w:r>
            <w:r w:rsidR="00770569">
              <w:rPr>
                <w:rFonts w:eastAsia="Times New Roman" w:cs="Arial"/>
                <w:lang w:eastAsia="es-ES"/>
              </w:rPr>
              <w:t>, de acuerdo al artículo 150 del Reglamento de la Ley de Contratación del Estado (RLCE)</w:t>
            </w:r>
            <w:r w:rsidR="00E01E6B">
              <w:rPr>
                <w:rFonts w:eastAsia="Times New Roman" w:cs="Arial"/>
                <w:lang w:eastAsia="es-ES"/>
              </w:rPr>
              <w:t xml:space="preserve">. </w:t>
            </w:r>
          </w:p>
          <w:p w:rsidR="00431FBC" w:rsidRPr="00DB54A9" w:rsidRDefault="00431FBC" w:rsidP="002F7CC1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  <w:tc>
          <w:tcPr>
            <w:tcW w:w="567" w:type="dxa"/>
          </w:tcPr>
          <w:p w:rsidR="00DB54A9" w:rsidRPr="00DB54A9" w:rsidRDefault="00DB54A9" w:rsidP="00DB54A9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  <w:tc>
          <w:tcPr>
            <w:tcW w:w="709" w:type="dxa"/>
          </w:tcPr>
          <w:p w:rsidR="00DB54A9" w:rsidRPr="00DB54A9" w:rsidRDefault="00DB54A9" w:rsidP="00DB54A9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  <w:tc>
          <w:tcPr>
            <w:tcW w:w="3161" w:type="dxa"/>
          </w:tcPr>
          <w:p w:rsidR="00DB54A9" w:rsidRPr="00DB54A9" w:rsidRDefault="00DB54A9" w:rsidP="00DB54A9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</w:tr>
      <w:tr w:rsidR="00DB54A9" w:rsidRPr="00DB54A9" w:rsidTr="0059655C">
        <w:tc>
          <w:tcPr>
            <w:tcW w:w="567" w:type="dxa"/>
          </w:tcPr>
          <w:p w:rsidR="00DB54A9" w:rsidRPr="00DB54A9" w:rsidRDefault="002F7CC1" w:rsidP="0059655C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7</w:t>
            </w:r>
          </w:p>
        </w:tc>
        <w:tc>
          <w:tcPr>
            <w:tcW w:w="4536" w:type="dxa"/>
          </w:tcPr>
          <w:p w:rsidR="00DB54A9" w:rsidRDefault="00114806" w:rsidP="00DA3DAE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 xml:space="preserve">El PACC incluye </w:t>
            </w:r>
            <w:r w:rsidR="00CF7508">
              <w:rPr>
                <w:rFonts w:eastAsia="Times New Roman" w:cs="Arial"/>
                <w:lang w:eastAsia="es-ES"/>
              </w:rPr>
              <w:t>únicamente</w:t>
            </w:r>
            <w:r>
              <w:rPr>
                <w:rFonts w:eastAsia="Times New Roman" w:cs="Arial"/>
                <w:lang w:eastAsia="es-ES"/>
              </w:rPr>
              <w:t xml:space="preserve"> las </w:t>
            </w:r>
            <w:r w:rsidR="00DA3DAE">
              <w:rPr>
                <w:rFonts w:eastAsia="Times New Roman" w:cs="Arial"/>
                <w:lang w:eastAsia="es-ES"/>
              </w:rPr>
              <w:t>adquisiciones</w:t>
            </w:r>
            <w:r>
              <w:rPr>
                <w:rFonts w:eastAsia="Times New Roman" w:cs="Arial"/>
                <w:lang w:eastAsia="es-ES"/>
              </w:rPr>
              <w:t xml:space="preserve"> que corresponden al ámbito de aplicación de la </w:t>
            </w:r>
            <w:r>
              <w:rPr>
                <w:rFonts w:eastAsia="Times New Roman" w:cs="Arial"/>
                <w:lang w:eastAsia="es-ES"/>
              </w:rPr>
              <w:lastRenderedPageBreak/>
              <w:t>LCE</w:t>
            </w:r>
            <w:r w:rsidR="00DA3DAE">
              <w:rPr>
                <w:rFonts w:eastAsia="Times New Roman" w:cs="Arial"/>
                <w:lang w:eastAsia="es-ES"/>
              </w:rPr>
              <w:t xml:space="preserve"> y</w:t>
            </w:r>
            <w:r w:rsidR="00770569">
              <w:rPr>
                <w:rFonts w:eastAsia="Times New Roman" w:cs="Arial"/>
                <w:lang w:eastAsia="es-ES"/>
              </w:rPr>
              <w:t xml:space="preserve"> RLCE</w:t>
            </w:r>
            <w:r>
              <w:rPr>
                <w:rFonts w:eastAsia="Times New Roman" w:cs="Arial"/>
                <w:lang w:eastAsia="es-ES"/>
              </w:rPr>
              <w:t>.</w:t>
            </w:r>
          </w:p>
          <w:p w:rsidR="00431FBC" w:rsidRPr="00DB54A9" w:rsidRDefault="00431FBC" w:rsidP="00DA3DAE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  <w:tc>
          <w:tcPr>
            <w:tcW w:w="567" w:type="dxa"/>
          </w:tcPr>
          <w:p w:rsidR="00DB54A9" w:rsidRPr="00DB54A9" w:rsidRDefault="00DB54A9" w:rsidP="00DB54A9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  <w:tc>
          <w:tcPr>
            <w:tcW w:w="709" w:type="dxa"/>
          </w:tcPr>
          <w:p w:rsidR="00DB54A9" w:rsidRPr="00DB54A9" w:rsidRDefault="00DB54A9" w:rsidP="00DB54A9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  <w:tc>
          <w:tcPr>
            <w:tcW w:w="3161" w:type="dxa"/>
          </w:tcPr>
          <w:p w:rsidR="00DB54A9" w:rsidRPr="00DB54A9" w:rsidRDefault="00DB54A9" w:rsidP="00DB54A9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</w:tr>
      <w:tr w:rsidR="00AD7DEB" w:rsidRPr="00DB54A9" w:rsidTr="0059655C">
        <w:tc>
          <w:tcPr>
            <w:tcW w:w="567" w:type="dxa"/>
          </w:tcPr>
          <w:p w:rsidR="00AD7DEB" w:rsidRPr="00DB54A9" w:rsidRDefault="002F7CC1" w:rsidP="0059655C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8</w:t>
            </w:r>
          </w:p>
        </w:tc>
        <w:tc>
          <w:tcPr>
            <w:tcW w:w="4536" w:type="dxa"/>
          </w:tcPr>
          <w:p w:rsidR="00AD7DEB" w:rsidRDefault="00101582" w:rsidP="007C1A79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No existe</w:t>
            </w:r>
            <w:r w:rsidR="00DA3DAE">
              <w:rPr>
                <w:rFonts w:eastAsia="Times New Roman" w:cs="Arial"/>
                <w:lang w:eastAsia="es-ES"/>
              </w:rPr>
              <w:t xml:space="preserve"> </w:t>
            </w:r>
            <w:r>
              <w:rPr>
                <w:rFonts w:eastAsia="Times New Roman" w:cs="Arial"/>
                <w:lang w:eastAsia="es-ES"/>
              </w:rPr>
              <w:t>sub división de</w:t>
            </w:r>
            <w:r w:rsidR="00DA3DAE">
              <w:rPr>
                <w:rFonts w:eastAsia="Times New Roman" w:cs="Arial"/>
                <w:lang w:eastAsia="es-ES"/>
              </w:rPr>
              <w:t xml:space="preserve"> contratos </w:t>
            </w:r>
            <w:r>
              <w:rPr>
                <w:rFonts w:eastAsia="Times New Roman" w:cs="Arial"/>
                <w:lang w:eastAsia="es-ES"/>
              </w:rPr>
              <w:t xml:space="preserve">de acuerdo al </w:t>
            </w:r>
            <w:r w:rsidR="007C1A79">
              <w:rPr>
                <w:rFonts w:eastAsia="Times New Roman" w:cs="Arial"/>
                <w:lang w:eastAsia="es-ES"/>
              </w:rPr>
              <w:t xml:space="preserve">artículo </w:t>
            </w:r>
            <w:r w:rsidR="00DA3DAE">
              <w:rPr>
                <w:rFonts w:eastAsia="Times New Roman" w:cs="Arial"/>
                <w:lang w:eastAsia="es-ES"/>
              </w:rPr>
              <w:t>25 de la LCE</w:t>
            </w:r>
            <w:r w:rsidR="007C1A79">
              <w:rPr>
                <w:rFonts w:eastAsia="Times New Roman" w:cs="Arial"/>
                <w:lang w:eastAsia="es-ES"/>
              </w:rPr>
              <w:t>.</w:t>
            </w:r>
            <w:r w:rsidR="00DA3DAE">
              <w:rPr>
                <w:rFonts w:eastAsia="Times New Roman" w:cs="Arial"/>
                <w:lang w:eastAsia="es-ES"/>
              </w:rPr>
              <w:t xml:space="preserve"> </w:t>
            </w:r>
          </w:p>
          <w:p w:rsidR="00431FBC" w:rsidRDefault="00431FBC" w:rsidP="007C1A79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  <w:tc>
          <w:tcPr>
            <w:tcW w:w="567" w:type="dxa"/>
          </w:tcPr>
          <w:p w:rsidR="00AD7DEB" w:rsidRPr="00DB54A9" w:rsidRDefault="00AD7DEB" w:rsidP="00DB54A9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  <w:tc>
          <w:tcPr>
            <w:tcW w:w="709" w:type="dxa"/>
          </w:tcPr>
          <w:p w:rsidR="00AD7DEB" w:rsidRPr="00DB54A9" w:rsidRDefault="00AD7DEB" w:rsidP="00DB54A9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  <w:tc>
          <w:tcPr>
            <w:tcW w:w="3161" w:type="dxa"/>
          </w:tcPr>
          <w:p w:rsidR="00AD7DEB" w:rsidRPr="00DB54A9" w:rsidRDefault="00AD7DEB" w:rsidP="00DB54A9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</w:tr>
      <w:tr w:rsidR="00DA3DAE" w:rsidRPr="00DB54A9" w:rsidTr="0059655C">
        <w:tc>
          <w:tcPr>
            <w:tcW w:w="567" w:type="dxa"/>
          </w:tcPr>
          <w:p w:rsidR="00DA3DAE" w:rsidRDefault="007C1A79" w:rsidP="0059655C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9</w:t>
            </w:r>
          </w:p>
        </w:tc>
        <w:tc>
          <w:tcPr>
            <w:tcW w:w="4536" w:type="dxa"/>
          </w:tcPr>
          <w:p w:rsidR="00DA3DAE" w:rsidRDefault="00DA3DAE" w:rsidP="00DA3DAE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El PACC excluye las adquisiciones identificadas en las DGP del año fiscal</w:t>
            </w:r>
            <w:r w:rsidR="007C1A79">
              <w:rPr>
                <w:rFonts w:eastAsia="Times New Roman" w:cs="Arial"/>
                <w:lang w:eastAsia="es-ES"/>
              </w:rPr>
              <w:t xml:space="preserve"> como prohibición</w:t>
            </w:r>
            <w:r>
              <w:rPr>
                <w:rFonts w:eastAsia="Times New Roman" w:cs="Arial"/>
                <w:lang w:eastAsia="es-ES"/>
              </w:rPr>
              <w:t>.</w:t>
            </w:r>
          </w:p>
          <w:p w:rsidR="00431FBC" w:rsidRDefault="00431FBC" w:rsidP="00DA3DAE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  <w:tc>
          <w:tcPr>
            <w:tcW w:w="567" w:type="dxa"/>
          </w:tcPr>
          <w:p w:rsidR="00DA3DAE" w:rsidRPr="00DB54A9" w:rsidRDefault="00DA3DAE" w:rsidP="00DB54A9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  <w:tc>
          <w:tcPr>
            <w:tcW w:w="709" w:type="dxa"/>
          </w:tcPr>
          <w:p w:rsidR="00DA3DAE" w:rsidRPr="00DB54A9" w:rsidRDefault="00DA3DAE" w:rsidP="00DB54A9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  <w:tc>
          <w:tcPr>
            <w:tcW w:w="3161" w:type="dxa"/>
          </w:tcPr>
          <w:p w:rsidR="00DA3DAE" w:rsidRPr="00DB54A9" w:rsidRDefault="00DA3DAE" w:rsidP="00DB54A9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</w:tr>
    </w:tbl>
    <w:p w:rsidR="00C83EF0" w:rsidRDefault="00AD7DEB" w:rsidP="00492A3B">
      <w:pPr>
        <w:spacing w:after="0"/>
        <w:jc w:val="both"/>
      </w:pPr>
      <w:r>
        <w:t xml:space="preserve">Forma parte de esta lista de verificación el documento del PACC con el </w:t>
      </w:r>
      <w:r w:rsidR="00492A3B">
        <w:t>cumplimiento de conformidad o no conformidad para cada adquisición del plan.</w:t>
      </w:r>
    </w:p>
    <w:p w:rsidR="00492A3B" w:rsidRDefault="00492A3B" w:rsidP="00CB42E0">
      <w:pPr>
        <w:spacing w:after="0"/>
      </w:pPr>
    </w:p>
    <w:p w:rsidR="00CB42E0" w:rsidRDefault="00CB42E0" w:rsidP="00CB42E0">
      <w:r>
        <w:t>Comentarios u observaciones generales del Comprador Publico Certificado (CPC):</w:t>
      </w:r>
    </w:p>
    <w:p w:rsidR="00431FBC" w:rsidRDefault="00431FBC" w:rsidP="00CB42E0"/>
    <w:p w:rsidR="00431FBC" w:rsidRDefault="00431FBC" w:rsidP="00CB42E0"/>
    <w:p w:rsidR="00431FBC" w:rsidRDefault="00431FBC" w:rsidP="00CB42E0"/>
    <w:p w:rsidR="00431FBC" w:rsidRDefault="00431FBC" w:rsidP="00CB42E0"/>
    <w:p w:rsidR="00CB42E0" w:rsidRDefault="00CB42E0" w:rsidP="00CB42E0"/>
    <w:p w:rsidR="00CB42E0" w:rsidRDefault="00CB42E0" w:rsidP="00CB42E0">
      <w:r>
        <w:t>Nombre del CPC:</w:t>
      </w:r>
    </w:p>
    <w:p w:rsidR="00CB42E0" w:rsidRDefault="00CB42E0" w:rsidP="00CB42E0">
      <w:r>
        <w:t>Firma del CPC:</w:t>
      </w:r>
    </w:p>
    <w:p w:rsidR="00CB42E0" w:rsidRPr="002F684F" w:rsidRDefault="00CB42E0" w:rsidP="00CB42E0">
      <w:r>
        <w:t>Número del CPC:</w:t>
      </w:r>
      <w:bookmarkStart w:id="0" w:name="_GoBack"/>
      <w:bookmarkEnd w:id="0"/>
    </w:p>
    <w:sectPr w:rsidR="00CB42E0" w:rsidRPr="002F684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FBC" w:rsidRDefault="00431FBC" w:rsidP="00431FBC">
      <w:pPr>
        <w:spacing w:after="0" w:line="240" w:lineRule="auto"/>
      </w:pPr>
      <w:r>
        <w:separator/>
      </w:r>
    </w:p>
  </w:endnote>
  <w:endnote w:type="continuationSeparator" w:id="0">
    <w:p w:rsidR="00431FBC" w:rsidRDefault="00431FBC" w:rsidP="0043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10"/>
      <w:gridCol w:w="480"/>
    </w:tblGrid>
    <w:tr w:rsidR="00431FBC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sz w:val="18"/>
            </w:rPr>
            <w:alias w:val="Autor"/>
            <w:tag w:val=""/>
            <w:id w:val="1534539408"/>
            <w:placeholder>
              <w:docPart w:val="2B364808BEAB4D2EA76DFCE63F13ABC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431FBC" w:rsidRDefault="00431FBC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 w:rsidRPr="00431FBC">
                <w:rPr>
                  <w:caps/>
                  <w:color w:val="000000" w:themeColor="text1"/>
                  <w:sz w:val="18"/>
                </w:rPr>
                <w:t>Lista de verificacion pacc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:rsidR="00431FBC" w:rsidRDefault="00431FBC">
          <w:pPr>
            <w:pStyle w:val="Piedepgina"/>
            <w:jc w:val="center"/>
            <w:rPr>
              <w:color w:val="FFFFFF" w:themeColor="background1"/>
            </w:rPr>
          </w:pPr>
          <w:r w:rsidRPr="00431FBC">
            <w:rPr>
              <w:color w:val="FFFFFF" w:themeColor="background1"/>
              <w:sz w:val="18"/>
            </w:rPr>
            <w:fldChar w:fldCharType="begin"/>
          </w:r>
          <w:r w:rsidRPr="00431FBC">
            <w:rPr>
              <w:color w:val="FFFFFF" w:themeColor="background1"/>
              <w:sz w:val="18"/>
            </w:rPr>
            <w:instrText>PAGE   \* MERGEFORMAT</w:instrText>
          </w:r>
          <w:r w:rsidRPr="00431FBC">
            <w:rPr>
              <w:color w:val="FFFFFF" w:themeColor="background1"/>
              <w:sz w:val="18"/>
            </w:rPr>
            <w:fldChar w:fldCharType="separate"/>
          </w:r>
          <w:r w:rsidRPr="00431FBC">
            <w:rPr>
              <w:color w:val="FFFFFF" w:themeColor="background1"/>
              <w:sz w:val="18"/>
            </w:rPr>
            <w:t>2</w:t>
          </w:r>
          <w:r w:rsidRPr="00431FBC">
            <w:rPr>
              <w:color w:val="FFFFFF" w:themeColor="background1"/>
              <w:sz w:val="18"/>
            </w:rPr>
            <w:fldChar w:fldCharType="end"/>
          </w:r>
        </w:p>
      </w:tc>
    </w:tr>
  </w:tbl>
  <w:p w:rsidR="00431FBC" w:rsidRDefault="00431F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FBC" w:rsidRDefault="00431FBC" w:rsidP="00431FBC">
      <w:pPr>
        <w:spacing w:after="0" w:line="240" w:lineRule="auto"/>
      </w:pPr>
      <w:r>
        <w:separator/>
      </w:r>
    </w:p>
  </w:footnote>
  <w:footnote w:type="continuationSeparator" w:id="0">
    <w:p w:rsidR="00431FBC" w:rsidRDefault="00431FBC" w:rsidP="00431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D4420"/>
    <w:multiLevelType w:val="hybridMultilevel"/>
    <w:tmpl w:val="B6F45BCA"/>
    <w:lvl w:ilvl="0" w:tplc="77A2F7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329"/>
    <w:rsid w:val="00060EAD"/>
    <w:rsid w:val="00101582"/>
    <w:rsid w:val="00114806"/>
    <w:rsid w:val="001866CB"/>
    <w:rsid w:val="00197329"/>
    <w:rsid w:val="002C4C40"/>
    <w:rsid w:val="002F684F"/>
    <w:rsid w:val="002F7CC1"/>
    <w:rsid w:val="00385C34"/>
    <w:rsid w:val="00386C49"/>
    <w:rsid w:val="00431FBC"/>
    <w:rsid w:val="00474140"/>
    <w:rsid w:val="00492A3B"/>
    <w:rsid w:val="004D68C0"/>
    <w:rsid w:val="0059655C"/>
    <w:rsid w:val="006933AE"/>
    <w:rsid w:val="007037BD"/>
    <w:rsid w:val="00757561"/>
    <w:rsid w:val="00770569"/>
    <w:rsid w:val="007C1A79"/>
    <w:rsid w:val="00943F43"/>
    <w:rsid w:val="009E1783"/>
    <w:rsid w:val="00AD7DEB"/>
    <w:rsid w:val="00B024C1"/>
    <w:rsid w:val="00C83EF0"/>
    <w:rsid w:val="00CB42E0"/>
    <w:rsid w:val="00CF7508"/>
    <w:rsid w:val="00DA3DAE"/>
    <w:rsid w:val="00DB54A9"/>
    <w:rsid w:val="00E01E6B"/>
    <w:rsid w:val="00E7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05A1"/>
  <w15:docId w15:val="{23126BC3-CDA7-4254-A596-76304105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42E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DAE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31F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1FB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31F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FBC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364808BEAB4D2EA76DFCE63F13A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35A3C-B263-4361-95BB-38769CD7B095}"/>
      </w:docPartPr>
      <w:docPartBody>
        <w:p w:rsidR="00000000" w:rsidRDefault="00255AD3" w:rsidP="00255AD3">
          <w:pPr>
            <w:pStyle w:val="2B364808BEAB4D2EA76DFCE63F13ABC6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D3"/>
    <w:rsid w:val="0025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B364808BEAB4D2EA76DFCE63F13ABC6">
    <w:name w:val="2B364808BEAB4D2EA76DFCE63F13ABC6"/>
    <w:rsid w:val="00255A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Lista de verificacion pacc</dc:creator>
  <cp:lastModifiedBy>P. Alonzo</cp:lastModifiedBy>
  <cp:revision>5</cp:revision>
  <dcterms:created xsi:type="dcterms:W3CDTF">2018-12-31T18:25:00Z</dcterms:created>
  <dcterms:modified xsi:type="dcterms:W3CDTF">2019-01-14T22:05:00Z</dcterms:modified>
</cp:coreProperties>
</file>